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3" w:rsidRDefault="00123EE3" w:rsidP="00123EE3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E54606" w:rsidRPr="00E54606" w:rsidRDefault="00E54606" w:rsidP="00123EE3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123EE3" w:rsidRDefault="00071D9A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07.05</w:t>
      </w:r>
      <w:r w:rsidR="00123EE3">
        <w:rPr>
          <w:rFonts w:ascii="Arial" w:hAnsi="Arial"/>
          <w:sz w:val="20"/>
          <w:szCs w:val="20"/>
        </w:rPr>
        <w:t>.2014</w:t>
      </w:r>
    </w:p>
    <w:p w:rsidR="00123EE3" w:rsidRDefault="00123EE3" w:rsidP="00123EE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</w:t>
      </w:r>
      <w:r w:rsidR="00E54606">
        <w:rPr>
          <w:rFonts w:ascii="Arial" w:hAnsi="Arial"/>
          <w:sz w:val="20"/>
          <w:szCs w:val="20"/>
        </w:rPr>
        <w:t>31.05.2021</w:t>
      </w:r>
    </w:p>
    <w:p w:rsidR="00123EE3" w:rsidRDefault="00123EE3" w:rsidP="00123EE3">
      <w:pPr>
        <w:pStyle w:val="Standard"/>
        <w:rPr>
          <w:rFonts w:ascii="Arial" w:hAnsi="Arial"/>
        </w:rPr>
      </w:pPr>
    </w:p>
    <w:p w:rsidR="00DC500D" w:rsidRDefault="00DC500D" w:rsidP="00E54606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 xml:space="preserve">SEKCJA1. Identyfikacja </w:t>
      </w:r>
      <w:r w:rsidR="00E54606">
        <w:rPr>
          <w:rFonts w:ascii="Arial" w:hAnsi="Arial"/>
          <w:b/>
          <w:bCs/>
          <w:highlight w:val="lightGray"/>
        </w:rPr>
        <w:t>substancji/</w:t>
      </w:r>
      <w:r w:rsidRPr="00822C07">
        <w:rPr>
          <w:rFonts w:ascii="Arial" w:hAnsi="Arial"/>
          <w:b/>
          <w:bCs/>
          <w:highlight w:val="lightGray"/>
        </w:rPr>
        <w:t>mieszaniny i identyfikacja przedsiębiorstwa</w:t>
      </w:r>
    </w:p>
    <w:p w:rsidR="00123EE3" w:rsidRPr="00DC500D" w:rsidRDefault="00123EE3" w:rsidP="00123EE3">
      <w:pPr>
        <w:pStyle w:val="Standard"/>
        <w:numPr>
          <w:ilvl w:val="1"/>
          <w:numId w:val="1"/>
        </w:numPr>
        <w:rPr>
          <w:rFonts w:ascii="Arial" w:hAnsi="Arial"/>
          <w:b/>
          <w:iCs/>
          <w:sz w:val="21"/>
          <w:szCs w:val="21"/>
        </w:rPr>
      </w:pPr>
      <w:r w:rsidRPr="00DC500D">
        <w:rPr>
          <w:rFonts w:ascii="Arial" w:hAnsi="Arial"/>
          <w:b/>
          <w:iCs/>
          <w:sz w:val="21"/>
          <w:szCs w:val="21"/>
        </w:rPr>
        <w:t>Identyfikator produktu</w:t>
      </w:r>
    </w:p>
    <w:p w:rsidR="00123EE3" w:rsidRDefault="00123EE3" w:rsidP="00123EE3">
      <w:pPr>
        <w:pStyle w:val="Standard"/>
      </w:pPr>
      <w:r>
        <w:rPr>
          <w:rFonts w:ascii="Arial" w:hAnsi="Arial"/>
          <w:iCs/>
          <w:sz w:val="21"/>
          <w:szCs w:val="21"/>
        </w:rPr>
        <w:t>Nazwa handlowa</w:t>
      </w:r>
      <w:r>
        <w:rPr>
          <w:rFonts w:ascii="Arial" w:hAnsi="Arial"/>
          <w:i/>
          <w:iCs/>
          <w:sz w:val="21"/>
          <w:szCs w:val="21"/>
        </w:rPr>
        <w:t>:</w:t>
      </w:r>
    </w:p>
    <w:p w:rsidR="00123EE3" w:rsidRDefault="00123EE3" w:rsidP="00123EE3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FARBA  SILIKONOWA ZEWNETRZNA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123EE3" w:rsidRPr="00DC500D" w:rsidRDefault="00123EE3" w:rsidP="00123EE3">
      <w:pPr>
        <w:pStyle w:val="Standard"/>
        <w:rPr>
          <w:b/>
        </w:rPr>
      </w:pPr>
      <w:r w:rsidRPr="00DC500D">
        <w:rPr>
          <w:rFonts w:ascii="Arial" w:hAnsi="Arial"/>
          <w:b/>
          <w:sz w:val="21"/>
          <w:szCs w:val="21"/>
        </w:rPr>
        <w:t>1.2</w:t>
      </w:r>
      <w:r w:rsidRPr="00DC500D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 :</w:t>
      </w:r>
    </w:p>
    <w:p w:rsidR="00123EE3" w:rsidRDefault="00123EE3" w:rsidP="00123EE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 na bazie  gipsu, cementu i betonu  na zewnątrz pomieszczeń.</w:t>
      </w:r>
    </w:p>
    <w:p w:rsidR="00123EE3" w:rsidRDefault="00123EE3" w:rsidP="00123EE3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DC500D" w:rsidRDefault="00DC500D" w:rsidP="00123EE3">
      <w:pPr>
        <w:pStyle w:val="Standard"/>
        <w:rPr>
          <w:rFonts w:ascii="Arial" w:hAnsi="Arial"/>
          <w:sz w:val="21"/>
          <w:szCs w:val="21"/>
        </w:rPr>
      </w:pPr>
    </w:p>
    <w:p w:rsidR="00DC500D" w:rsidRDefault="00DC500D" w:rsidP="00DC500D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P.P.H.U EURO-MIX </w:t>
      </w:r>
      <w:proofErr w:type="spellStart"/>
      <w:r>
        <w:rPr>
          <w:rFonts w:ascii="Arial" w:hAnsi="Arial"/>
          <w:b/>
          <w:bCs/>
          <w:sz w:val="21"/>
          <w:szCs w:val="21"/>
        </w:rPr>
        <w:t>Sp.zo.o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123EE3" w:rsidRDefault="00123EE3" w:rsidP="00123EE3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</w:p>
    <w:p w:rsidR="00123EE3" w:rsidRDefault="00123EE3" w:rsidP="00123EE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3EE3" w:rsidRDefault="00123EE3" w:rsidP="00123EE3">
      <w:pPr>
        <w:pStyle w:val="Standard"/>
        <w:rPr>
          <w:rFonts w:ascii="Arial" w:hAnsi="Arial" w:cs="Arial"/>
          <w:sz w:val="20"/>
          <w:szCs w:val="20"/>
        </w:rPr>
      </w:pPr>
      <w:r w:rsidRPr="00E54606">
        <w:rPr>
          <w:rFonts w:ascii="Arial" w:hAnsi="Arial" w:cs="Arial"/>
          <w:b/>
          <w:sz w:val="20"/>
          <w:szCs w:val="20"/>
        </w:rPr>
        <w:t>1.4 Tele</w:t>
      </w:r>
      <w:r w:rsidR="00E54606" w:rsidRPr="00E54606">
        <w:rPr>
          <w:rFonts w:ascii="Arial" w:hAnsi="Arial" w:cs="Arial"/>
          <w:b/>
          <w:sz w:val="20"/>
          <w:szCs w:val="20"/>
        </w:rPr>
        <w:t>fon alarmowy</w:t>
      </w:r>
      <w:r w:rsidR="00E54606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123EE3" w:rsidRDefault="00123EE3" w:rsidP="00123EE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DC500D">
        <w:rPr>
          <w:rFonts w:ascii="Arial" w:hAnsi="Arial" w:cs="Arial"/>
          <w:sz w:val="20"/>
          <w:szCs w:val="20"/>
        </w:rPr>
        <w:t xml:space="preserve"> godz. 15 tej – kom. 112</w:t>
      </w:r>
    </w:p>
    <w:p w:rsidR="00123EE3" w:rsidRDefault="00123EE3" w:rsidP="00123EE3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123EE3" w:rsidRPr="00DC500D" w:rsidRDefault="00123EE3" w:rsidP="00123EE3">
      <w:pPr>
        <w:pStyle w:val="Standard"/>
        <w:rPr>
          <w:rFonts w:ascii="Arial" w:hAnsi="Arial"/>
          <w:b/>
          <w:bCs/>
          <w:sz w:val="20"/>
          <w:szCs w:val="20"/>
        </w:rPr>
      </w:pPr>
      <w:r w:rsidRPr="00DC500D">
        <w:rPr>
          <w:rFonts w:ascii="Arial" w:hAnsi="Arial"/>
          <w:b/>
          <w:bCs/>
          <w:sz w:val="20"/>
          <w:szCs w:val="20"/>
        </w:rPr>
        <w:t>2.1 Klasyfikacja  mieszaniny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123EE3" w:rsidRDefault="00123EE3" w:rsidP="00123EE3">
      <w:pPr>
        <w:pStyle w:val="Standard"/>
        <w:rPr>
          <w:rFonts w:ascii="Arial" w:hAnsi="Arial"/>
          <w:bCs/>
          <w:sz w:val="20"/>
          <w:szCs w:val="20"/>
        </w:rPr>
      </w:pPr>
    </w:p>
    <w:p w:rsidR="00123EE3" w:rsidRPr="00DC500D" w:rsidRDefault="00123EE3" w:rsidP="00123EE3">
      <w:pPr>
        <w:pStyle w:val="Standard"/>
        <w:rPr>
          <w:rFonts w:ascii="Arial" w:hAnsi="Arial"/>
          <w:b/>
          <w:sz w:val="20"/>
          <w:szCs w:val="20"/>
        </w:rPr>
      </w:pPr>
      <w:r w:rsidRPr="00DC500D">
        <w:rPr>
          <w:rFonts w:ascii="Arial" w:hAnsi="Arial"/>
          <w:b/>
          <w:sz w:val="20"/>
          <w:szCs w:val="20"/>
        </w:rPr>
        <w:t>2.1 Elementy oznakowania: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</w:t>
      </w:r>
      <w:r w:rsidR="008258CD">
        <w:rPr>
          <w:rFonts w:ascii="Arial" w:hAnsi="Arial"/>
          <w:sz w:val="20"/>
          <w:szCs w:val="20"/>
        </w:rPr>
        <w:t xml:space="preserve"> brak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</w:t>
      </w:r>
      <w:r w:rsidR="008258CD">
        <w:rPr>
          <w:rFonts w:ascii="Arial" w:hAnsi="Arial"/>
          <w:sz w:val="20"/>
          <w:szCs w:val="20"/>
        </w:rPr>
        <w:t xml:space="preserve"> Może wywołać reakcje alergiczną skóry</w:t>
      </w:r>
    </w:p>
    <w:p w:rsidR="00123EE3" w:rsidRDefault="00123EE3" w:rsidP="00123EE3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</w:t>
      </w:r>
      <w:r w:rsidR="008258CD">
        <w:rPr>
          <w:rFonts w:ascii="Arial" w:hAnsi="Arial"/>
          <w:sz w:val="20"/>
          <w:szCs w:val="20"/>
        </w:rPr>
        <w:t xml:space="preserve"> brak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Pr="00DC500D" w:rsidRDefault="00123EE3" w:rsidP="00123EE3">
      <w:pPr>
        <w:pStyle w:val="Standard"/>
        <w:rPr>
          <w:rFonts w:ascii="Arial" w:hAnsi="Arial"/>
          <w:b/>
          <w:sz w:val="20"/>
          <w:szCs w:val="20"/>
        </w:rPr>
      </w:pPr>
      <w:r w:rsidRPr="00DC500D">
        <w:rPr>
          <w:rFonts w:ascii="Arial" w:hAnsi="Arial"/>
          <w:b/>
          <w:sz w:val="20"/>
          <w:szCs w:val="20"/>
        </w:rPr>
        <w:t>2.3 Inne zagrożenia: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1F0C8C" w:rsidRDefault="001F0C8C" w:rsidP="00123EE3">
      <w:pPr>
        <w:pStyle w:val="Standard"/>
        <w:rPr>
          <w:rFonts w:ascii="Arial" w:hAnsi="Arial"/>
          <w:sz w:val="20"/>
          <w:szCs w:val="20"/>
        </w:rPr>
      </w:pPr>
    </w:p>
    <w:p w:rsidR="001F0C8C" w:rsidRDefault="001F0C8C" w:rsidP="00123EE3">
      <w:pPr>
        <w:pStyle w:val="Standard"/>
        <w:rPr>
          <w:rFonts w:ascii="Arial" w:hAnsi="Arial"/>
          <w:sz w:val="20"/>
          <w:szCs w:val="20"/>
        </w:rPr>
      </w:pPr>
    </w:p>
    <w:p w:rsidR="00726D91" w:rsidRDefault="00726D91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DC500D" w:rsidRPr="00BC32E7" w:rsidRDefault="00DC500D" w:rsidP="00DC500D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E54606" w:rsidRPr="00E54606" w:rsidTr="00F519EB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E54606">
              <w:rPr>
                <w:rFonts w:ascii="Arial" w:hAnsi="Arial" w:cs="Tahoma"/>
                <w:b/>
                <w:bCs/>
                <w:sz w:val="16"/>
                <w:szCs w:val="16"/>
              </w:rPr>
              <w:t>Składniki niebezpieczne  zawarte w mieszaninie</w:t>
            </w:r>
          </w:p>
        </w:tc>
      </w:tr>
      <w:tr w:rsidR="00E54606" w:rsidRPr="00E54606" w:rsidTr="00F519EB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>Bronopol</w:t>
            </w:r>
            <w:proofErr w:type="spellEnd"/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54606">
              <w:rPr>
                <w:rFonts w:ascii="Arial" w:hAnsi="Arial" w:cs="Tahoma"/>
                <w:sz w:val="18"/>
                <w:szCs w:val="18"/>
                <w:lang w:val="en-US"/>
              </w:rPr>
              <w:t>CAS 52-51-7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54606">
              <w:rPr>
                <w:rFonts w:ascii="Arial" w:hAnsi="Arial" w:cs="Tahoma"/>
                <w:sz w:val="18"/>
                <w:szCs w:val="18"/>
                <w:lang w:val="en-US"/>
              </w:rPr>
              <w:t>EINECES 231-554-3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E54606">
              <w:rPr>
                <w:rFonts w:ascii="Arial" w:hAnsi="Arial" w:cs="Tahoma"/>
                <w:sz w:val="18"/>
                <w:szCs w:val="18"/>
                <w:lang w:val="en-US"/>
              </w:rPr>
              <w:t>Nr</w:t>
            </w:r>
            <w:proofErr w:type="spellEnd"/>
            <w:r w:rsidRPr="00E54606">
              <w:rPr>
                <w:rFonts w:ascii="Arial" w:hAnsi="Arial" w:cs="Tahoma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E61478" wp14:editId="55AC1636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E54606">
              <w:rPr>
                <w:rFonts w:cs="Tahoma"/>
                <w:lang w:val="en-US"/>
              </w:rPr>
              <w:t xml:space="preserve"> </w:t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5DCEE8F" wp14:editId="47B8AEBA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E54606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1313FA0D" wp14:editId="006C8E75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E54606" w:rsidRPr="00E54606" w:rsidTr="00F519EB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>Sodium nitrate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>Cas</w:t>
            </w:r>
            <w:proofErr w:type="spellEnd"/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7631-99-4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>EINECS:231-554-3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5FA1C7CA" wp14:editId="5C7A6D72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Ox.Sol.3,H272; </w:t>
            </w:r>
            <w:r w:rsidRPr="00E54606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5FC58448" wp14:editId="37709E24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E54606" w:rsidRPr="00E54606" w:rsidTr="00E54606">
        <w:tc>
          <w:tcPr>
            <w:tcW w:w="218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E54606">
              <w:rPr>
                <w:rFonts w:ascii="Arial" w:hAnsi="Arial" w:cs="Tahoma"/>
                <w:sz w:val="20"/>
                <w:szCs w:val="20"/>
              </w:rPr>
              <w:t>Masa poreakcyjna 5 chloro-2-metylo-2H-izotiazol-3-onu i 2-metylo-2H-izotiazol-3-onu (3:1)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E54606">
              <w:rPr>
                <w:rFonts w:ascii="Arial" w:hAnsi="Arial" w:cs="Tahoma"/>
                <w:sz w:val="20"/>
                <w:szCs w:val="20"/>
              </w:rPr>
              <w:t>CAS:55965-84-9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E54606">
              <w:rPr>
                <w:rFonts w:ascii="Arial" w:hAnsi="Arial" w:cs="Tahoma"/>
                <w:sz w:val="20"/>
                <w:szCs w:val="20"/>
              </w:rPr>
              <w:t>WE: 611-341-5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E54606">
              <w:rPr>
                <w:rFonts w:ascii="Arial" w:hAnsi="Arial" w:cs="Tahoma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cs="Tahoma"/>
                <w:noProof/>
                <w:lang w:eastAsia="pl-PL" w:bidi="ar-SA"/>
              </w:rPr>
            </w:pPr>
          </w:p>
          <w:p w:rsidR="00E54606" w:rsidRPr="00E54606" w:rsidRDefault="00E54606" w:rsidP="00E54606">
            <w:pPr>
              <w:numPr>
                <w:ilvl w:val="0"/>
                <w:numId w:val="3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E54606">
              <w:rPr>
                <w:rFonts w:cs="Tahoma"/>
                <w:lang w:val="en-US"/>
              </w:rPr>
              <w:t xml:space="preserve">Acute </w:t>
            </w:r>
            <w:proofErr w:type="spellStart"/>
            <w:r w:rsidRPr="00E54606">
              <w:rPr>
                <w:rFonts w:cs="Tahoma"/>
                <w:lang w:val="en-US"/>
              </w:rPr>
              <w:t>Tox</w:t>
            </w:r>
            <w:proofErr w:type="spellEnd"/>
            <w:r w:rsidRPr="00E54606">
              <w:rPr>
                <w:rFonts w:cs="Tahoma"/>
                <w:lang w:val="en-US"/>
              </w:rPr>
              <w:t xml:space="preserve">. 3,H301; Acute </w:t>
            </w:r>
            <w:proofErr w:type="spellStart"/>
            <w:r w:rsidRPr="00E54606">
              <w:rPr>
                <w:rFonts w:cs="Tahoma"/>
                <w:lang w:val="en-US"/>
              </w:rPr>
              <w:t>Tox</w:t>
            </w:r>
            <w:proofErr w:type="spellEnd"/>
            <w:r w:rsidRPr="00E54606">
              <w:rPr>
                <w:rFonts w:cs="Tahoma"/>
                <w:lang w:val="en-US"/>
              </w:rPr>
              <w:t xml:space="preserve">. 2, H310; Acute </w:t>
            </w:r>
            <w:proofErr w:type="spellStart"/>
            <w:r w:rsidRPr="00E54606">
              <w:rPr>
                <w:rFonts w:cs="Tahoma"/>
                <w:lang w:val="en-US"/>
              </w:rPr>
              <w:t>Tox</w:t>
            </w:r>
            <w:proofErr w:type="spellEnd"/>
            <w:r w:rsidRPr="00E54606">
              <w:rPr>
                <w:rFonts w:cs="Tahoma"/>
                <w:lang w:val="en-US"/>
              </w:rPr>
              <w:t>. 2, H330;</w:t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6F98B3" wp14:editId="32421220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BBE1C49" wp14:editId="374FDB03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E54606">
              <w:rPr>
                <w:rFonts w:cs="Tahoma"/>
                <w:noProof/>
                <w:lang w:eastAsia="pl-PL" w:bidi="ar-SA"/>
              </w:rPr>
              <w:t xml:space="preserve"> </w:t>
            </w:r>
            <w:r w:rsidRPr="00E54606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0D91C84D" wp14:editId="2CBDED05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cs="Tahoma"/>
                <w:noProof/>
                <w:lang w:eastAsia="pl-PL" w:bidi="ar-SA"/>
              </w:rPr>
              <w:t xml:space="preserve"> Skin Sens.1A, H317 EUH071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E54606">
              <w:rPr>
                <w:rFonts w:cs="Tahoma"/>
                <w:noProof/>
                <w:lang w:eastAsia="pl-PL" w:bidi="ar-SA"/>
              </w:rPr>
              <w:t>Określone granice stężeń: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E54606" w:rsidRPr="00E54606" w:rsidRDefault="00E54606" w:rsidP="00E54606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E5460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</w:t>
            </w:r>
            <w:r w:rsidRPr="00E54606">
              <w:rPr>
                <w:rFonts w:ascii="Arial" w:hAnsi="Arial" w:cs="Tahoma"/>
                <w:sz w:val="20"/>
                <w:szCs w:val="20"/>
              </w:rPr>
              <w:t>1,13%</w:t>
            </w:r>
          </w:p>
        </w:tc>
      </w:tr>
      <w:tr w:rsidR="00E54606" w:rsidRPr="00E54606" w:rsidTr="00E54606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cs="Tahoma"/>
                <w:noProof/>
                <w:lang w:eastAsia="pl-PL" w:bidi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</w:tc>
      </w:tr>
      <w:tr w:rsidR="00E54606" w:rsidRPr="00E54606" w:rsidTr="00E54606">
        <w:trPr>
          <w:trHeight w:val="113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>Talk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>CAS: 14807-96-6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 w:val="en-US"/>
              </w:rPr>
              <w:t>brak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4606" w:rsidRPr="00E54606" w:rsidRDefault="00AC3F1E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 1,2%</w:t>
            </w:r>
          </w:p>
        </w:tc>
      </w:tr>
      <w:tr w:rsidR="00E54606" w:rsidRPr="00E54606" w:rsidTr="00E54606">
        <w:trPr>
          <w:trHeight w:val="112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25%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Tahoma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 w:val="en-US"/>
              </w:rPr>
              <w:t>indeksu</w:t>
            </w:r>
            <w:proofErr w:type="spellEnd"/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007-001-01-2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E54606">
              <w:rPr>
                <w:rFonts w:ascii="Arial" w:hAnsi="Arial" w:cs="Tahoma"/>
                <w:sz w:val="20"/>
                <w:szCs w:val="20"/>
              </w:rPr>
              <w:t xml:space="preserve"> </w:t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EF6EBC8" wp14:editId="11C04C19">
                  <wp:extent cx="228600" cy="228600"/>
                  <wp:effectExtent l="0" t="0" r="0" b="0"/>
                  <wp:docPr id="14" name="Obraz 1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Skin Cor. 1B, H 314 ; </w:t>
            </w:r>
            <w:r w:rsidRPr="00E54606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4A676D9" wp14:editId="012A18DC">
                  <wp:extent cx="161925" cy="1617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4606">
              <w:rPr>
                <w:rFonts w:ascii="Arial" w:hAnsi="Arial" w:cs="Tahoma"/>
                <w:sz w:val="20"/>
                <w:szCs w:val="20"/>
                <w:lang w:val="en-US"/>
              </w:rPr>
              <w:t xml:space="preserve"> STOT SE</w:t>
            </w: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3, H335 </w:t>
            </w:r>
          </w:p>
          <w:p w:rsidR="00E54606" w:rsidRPr="00E54606" w:rsidRDefault="00E54606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>Aquatic Acute 1, H400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4606" w:rsidRDefault="00AC3F1E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</w:t>
            </w:r>
          </w:p>
          <w:p w:rsidR="00AC3F1E" w:rsidRPr="00E54606" w:rsidRDefault="00AC3F1E" w:rsidP="00E54606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 0,1%</w:t>
            </w:r>
          </w:p>
        </w:tc>
      </w:tr>
    </w:tbl>
    <w:p w:rsidR="00DC500D" w:rsidRPr="00E54606" w:rsidRDefault="00DC500D" w:rsidP="00123EE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DC500D" w:rsidRDefault="0026132B" w:rsidP="00DC500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4.  </w:t>
      </w:r>
      <w:r>
        <w:rPr>
          <w:rFonts w:ascii="Arial" w:hAnsi="Arial"/>
          <w:b/>
          <w:bCs/>
        </w:rPr>
        <w:t>Środki pierwszej pomocy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123EE3" w:rsidRPr="00DC500D" w:rsidRDefault="00DC500D" w:rsidP="00123EE3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  <w:r w:rsidR="00123EE3">
        <w:rPr>
          <w:rFonts w:ascii="Arial" w:hAnsi="Arial"/>
          <w:b/>
          <w:bCs/>
        </w:rPr>
        <w:t>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Wskazówki ogólne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W przypadku dostania się do dróg oddechowych i jamy ustnej.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Przy kontakcie z skórą.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Po dostaniu się do oczu.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123EE3" w:rsidRDefault="00DC500D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123EE3">
        <w:rPr>
          <w:rFonts w:ascii="Arial" w:hAnsi="Arial"/>
          <w:sz w:val="20"/>
          <w:szCs w:val="20"/>
        </w:rPr>
        <w:t xml:space="preserve"> Po połknięciu.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DC500D" w:rsidRPr="005A0B89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Pr="005A0B89" w:rsidRDefault="00DC500D" w:rsidP="00DC500D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DC500D" w:rsidRPr="005A0B8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DC500D" w:rsidRPr="00C9209F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DC500D" w:rsidRPr="00C9209F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Pr="00C9209F" w:rsidRDefault="00DC500D" w:rsidP="00DC500D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DC500D" w:rsidRDefault="00DC500D" w:rsidP="00DC500D">
      <w:pPr>
        <w:pStyle w:val="Standard"/>
        <w:rPr>
          <w:sz w:val="20"/>
          <w:szCs w:val="20"/>
        </w:rPr>
      </w:pPr>
    </w:p>
    <w:p w:rsidR="00DC500D" w:rsidRPr="00C9209F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C9209F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1D06C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DC500D" w:rsidRDefault="00DC500D" w:rsidP="00DC500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DC500D" w:rsidRPr="001D06C9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26132B" w:rsidP="00DC500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7. </w:t>
      </w:r>
      <w:r w:rsidRPr="001D06C9">
        <w:rPr>
          <w:rFonts w:ascii="Arial" w:hAnsi="Arial"/>
          <w:b/>
          <w:bCs/>
          <w:highlight w:val="lightGray"/>
        </w:rPr>
        <w:t>Postępowanie z</w:t>
      </w:r>
      <w:r>
        <w:rPr>
          <w:rFonts w:ascii="Arial" w:hAnsi="Arial"/>
          <w:b/>
          <w:bCs/>
          <w:highlight w:val="lightGray"/>
        </w:rPr>
        <w:t xml:space="preserve"> 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1D06C9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1D06C9" w:rsidRDefault="0026132B" w:rsidP="00DC500D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7.2 </w:t>
      </w:r>
      <w:r w:rsidRPr="001D06C9">
        <w:rPr>
          <w:rFonts w:ascii="Arial" w:hAnsi="Arial"/>
          <w:b/>
          <w:sz w:val="20"/>
          <w:szCs w:val="20"/>
        </w:rPr>
        <w:t>2 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DC500D" w:rsidRDefault="00DC500D" w:rsidP="00DC500D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DC500D" w:rsidRDefault="00DC500D" w:rsidP="00DC500D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DC500D" w:rsidRDefault="00DC500D" w:rsidP="00DC500D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</w:p>
    <w:p w:rsidR="00DC500D" w:rsidRPr="00D7185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DC500D" w:rsidRDefault="00DC500D" w:rsidP="00DC500D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DC500D" w:rsidRDefault="00DC500D" w:rsidP="00DC500D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DC500D" w:rsidRDefault="00DC500D" w:rsidP="00DC500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26132B">
        <w:rPr>
          <w:rFonts w:ascii="Arial" w:hAnsi="Arial"/>
          <w:b/>
          <w:sz w:val="20"/>
          <w:szCs w:val="20"/>
        </w:rPr>
        <w:t xml:space="preserve">ntrola narażenia </w:t>
      </w:r>
      <w:r>
        <w:rPr>
          <w:rFonts w:ascii="Arial" w:hAnsi="Arial"/>
          <w:sz w:val="20"/>
          <w:szCs w:val="20"/>
        </w:rPr>
        <w:t>:</w:t>
      </w:r>
    </w:p>
    <w:p w:rsidR="00DC500D" w:rsidRDefault="00DC500D" w:rsidP="00DC500D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</w:p>
    <w:p w:rsidR="00DC500D" w:rsidRPr="006766D1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stan skupienia –</w:t>
      </w:r>
      <w:r>
        <w:rPr>
          <w:rFonts w:ascii="Arial" w:hAnsi="Arial"/>
          <w:sz w:val="20"/>
          <w:szCs w:val="20"/>
        </w:rPr>
        <w:t>płynna masa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7 - 9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26132B" w:rsidRP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1,51</w:t>
      </w:r>
      <w:r>
        <w:rPr>
          <w:rFonts w:ascii="Arial" w:hAnsi="Arial"/>
          <w:sz w:val="20"/>
          <w:szCs w:val="20"/>
        </w:rPr>
        <w:t xml:space="preserve"> g/cm</w:t>
      </w:r>
      <w:r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±</w:t>
      </w:r>
      <w:r>
        <w:rPr>
          <w:rFonts w:ascii="Arial" w:hAnsi="Arial"/>
          <w:sz w:val="20"/>
          <w:szCs w:val="20"/>
        </w:rPr>
        <w:t xml:space="preserve"> 5%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26132B" w:rsidRPr="00172054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F336B3">
        <w:rPr>
          <w:rFonts w:ascii="Arial" w:hAnsi="Arial" w:cs="Arial"/>
          <w:sz w:val="20"/>
          <w:szCs w:val="20"/>
          <w:shd w:val="clear" w:color="auto" w:fill="FFFFFF"/>
        </w:rPr>
        <w:t xml:space="preserve"> µm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123EE3" w:rsidRDefault="00DC500D" w:rsidP="00DC500D">
      <w:pPr>
        <w:pStyle w:val="Standard"/>
      </w:pPr>
      <w:r w:rsidRPr="006766D1">
        <w:rPr>
          <w:rFonts w:ascii="Arial" w:hAnsi="Arial"/>
          <w:sz w:val="20"/>
          <w:szCs w:val="20"/>
        </w:rPr>
        <w:t>Nie dotyczy</w:t>
      </w: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C500D" w:rsidRDefault="00DC500D" w:rsidP="00DC500D">
      <w:pPr>
        <w:pStyle w:val="Standard"/>
        <w:rPr>
          <w:rFonts w:ascii="Arial" w:hAnsi="Arial"/>
          <w:b/>
          <w:bCs/>
        </w:rPr>
      </w:pP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C500D" w:rsidRDefault="00DC500D" w:rsidP="00DC500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p w:rsidR="0026132B" w:rsidRDefault="0026132B" w:rsidP="00123EE3">
      <w:pPr>
        <w:pStyle w:val="Standard"/>
        <w:rPr>
          <w:rFonts w:ascii="Arial" w:hAnsi="Arial"/>
          <w:b/>
          <w:bCs/>
        </w:rPr>
      </w:pP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11. Informacje toksykologiczne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123EE3" w:rsidRDefault="0026132B" w:rsidP="0026132B">
      <w:pPr>
        <w:pStyle w:val="Standard"/>
        <w:rPr>
          <w:rFonts w:ascii="Arial" w:hAnsi="Arial"/>
          <w:b/>
          <w:bCs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DC500D" w:rsidRDefault="00DC500D" w:rsidP="00123EE3">
      <w:pPr>
        <w:pStyle w:val="Standard"/>
        <w:rPr>
          <w:rFonts w:ascii="Arial" w:hAnsi="Arial"/>
          <w:b/>
          <w:bCs/>
        </w:rPr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 w:rsidR="0026132B"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26132B" w:rsidRDefault="0026132B" w:rsidP="0026132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</w:p>
    <w:p w:rsidR="00123EE3" w:rsidRDefault="00123EE3" w:rsidP="00123EE3">
      <w:pPr>
        <w:pStyle w:val="Standard"/>
        <w:rPr>
          <w:rFonts w:ascii="Arial" w:hAnsi="Arial"/>
          <w:sz w:val="20"/>
          <w:szCs w:val="20"/>
        </w:rPr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240E33" w:rsidRPr="00774CFD" w:rsidRDefault="00240E33" w:rsidP="00240E33">
      <w:pPr>
        <w:pStyle w:val="Standard"/>
        <w:rPr>
          <w:rFonts w:ascii="Arial" w:hAnsi="Arial"/>
          <w:b/>
          <w:bCs/>
        </w:rPr>
      </w:pPr>
    </w:p>
    <w:p w:rsidR="00240E33" w:rsidRPr="00774CFD" w:rsidRDefault="00240E33" w:rsidP="00240E33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240E33" w:rsidRDefault="00240E33" w:rsidP="00240E3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240E33" w:rsidRDefault="00240E33" w:rsidP="00240E33">
      <w:pPr>
        <w:rPr>
          <w:szCs w:val="21"/>
        </w:rPr>
        <w:sectPr w:rsidR="00240E33" w:rsidSect="00240E33">
          <w:headerReference w:type="default" r:id="rId13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40E33" w:rsidRDefault="00240E33" w:rsidP="00240E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240E33" w:rsidRPr="00774CFD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240E33" w:rsidRDefault="00240E33" w:rsidP="00240E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240E33" w:rsidRDefault="00240E33" w:rsidP="00240E33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240E33" w:rsidRDefault="00240E33" w:rsidP="00240E33">
      <w:pPr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pStyle w:val="Standard"/>
      </w:pP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240E33" w:rsidRDefault="00240E33" w:rsidP="00240E33">
      <w:pPr>
        <w:pStyle w:val="Standard"/>
        <w:rPr>
          <w:rFonts w:ascii="Arial" w:hAnsi="Arial"/>
          <w:b/>
          <w:bCs/>
        </w:rPr>
      </w:pP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26132B" w:rsidRPr="004E1AFD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26132B" w:rsidRPr="00E916E4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26132B" w:rsidRDefault="0026132B" w:rsidP="0026132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26132B" w:rsidRDefault="0026132B" w:rsidP="0026132B">
      <w:pPr>
        <w:pStyle w:val="Standard"/>
        <w:rPr>
          <w:rFonts w:ascii="Arial" w:hAnsi="Arial"/>
          <w:b/>
          <w:bCs/>
        </w:rPr>
      </w:pPr>
    </w:p>
    <w:p w:rsidR="0026132B" w:rsidRDefault="0026132B" w:rsidP="0026132B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26132B" w:rsidRDefault="0026132B" w:rsidP="0026132B">
      <w:pPr>
        <w:pStyle w:val="Standard"/>
        <w:rPr>
          <w:rFonts w:ascii="Arial" w:hAnsi="Arial"/>
          <w:b/>
          <w:bCs/>
        </w:rPr>
      </w:pPr>
    </w:p>
    <w:p w:rsidR="0026132B" w:rsidRPr="000042C9" w:rsidRDefault="0026132B" w:rsidP="0026132B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lastRenderedPageBreak/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26132B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6132B" w:rsidRPr="004756B6" w:rsidRDefault="0026132B" w:rsidP="0026132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26132B" w:rsidRDefault="0026132B" w:rsidP="0026132B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240E33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40E33" w:rsidRPr="007F14FF" w:rsidRDefault="00240E33" w:rsidP="00240E3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240E33" w:rsidRDefault="00196144" w:rsidP="00240E33">
      <w:pPr>
        <w:pStyle w:val="Standard"/>
        <w:rPr>
          <w:rFonts w:ascii="Arial" w:hAnsi="Arial"/>
          <w:b/>
          <w:bCs/>
        </w:rPr>
      </w:pPr>
      <w:r w:rsidRPr="00196144">
        <w:rPr>
          <w:rFonts w:ascii="Arial" w:hAnsi="Arial"/>
          <w:b/>
          <w:bCs/>
          <w:highlight w:val="lightGray"/>
        </w:rPr>
        <w:t xml:space="preserve">SEKCJA </w:t>
      </w:r>
      <w:r w:rsidR="00240E33" w:rsidRPr="00196144">
        <w:rPr>
          <w:rFonts w:ascii="Arial" w:hAnsi="Arial"/>
          <w:b/>
          <w:bCs/>
          <w:highlight w:val="lightGray"/>
        </w:rPr>
        <w:t>16. Inne informacje.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240E33" w:rsidRDefault="00240E33" w:rsidP="00240E3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240E33" w:rsidRDefault="00240E33" w:rsidP="00240E33">
      <w:pPr>
        <w:pStyle w:val="Standard"/>
        <w:rPr>
          <w:rFonts w:ascii="Arial" w:hAnsi="Arial"/>
          <w:sz w:val="20"/>
          <w:szCs w:val="20"/>
        </w:rPr>
      </w:pPr>
    </w:p>
    <w:p w:rsidR="00240E33" w:rsidRDefault="00240E33" w:rsidP="00240E33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26132B" w:rsidRDefault="0026132B" w:rsidP="0026132B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26132B" w:rsidRPr="00371C27" w:rsidRDefault="0026132B" w:rsidP="0026132B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26132B" w:rsidRPr="00337764" w:rsidRDefault="0026132B" w:rsidP="0026132B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26132B" w:rsidRPr="005C1367" w:rsidRDefault="0026132B" w:rsidP="0026132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26132B" w:rsidRDefault="0026132B" w:rsidP="0026132B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606AF2" w:rsidRPr="0026132B" w:rsidRDefault="0026132B" w:rsidP="00240E33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  <w:bookmarkStart w:id="0" w:name="_GoBack"/>
      <w:bookmarkEnd w:id="0"/>
    </w:p>
    <w:p w:rsidR="00240E33" w:rsidRDefault="00240E33" w:rsidP="00240E33">
      <w:pPr>
        <w:autoSpaceDE w:val="0"/>
        <w:jc w:val="both"/>
        <w:rPr>
          <w:rFonts w:ascii="Arial" w:hAnsi="Arial" w:cs="Arial"/>
          <w:sz w:val="20"/>
        </w:rPr>
      </w:pPr>
    </w:p>
    <w:p w:rsidR="00240E33" w:rsidRDefault="00240E33" w:rsidP="00240E33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240E33" w:rsidRDefault="00240E33" w:rsidP="00240E3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240E33" w:rsidRDefault="00240E33" w:rsidP="00240E33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240E33" w:rsidRDefault="00240E33" w:rsidP="00240E33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240E33" w:rsidRPr="00812892" w:rsidRDefault="00240E33" w:rsidP="00240E33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240E33" w:rsidRPr="006071A8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240E33" w:rsidRDefault="00240E33" w:rsidP="00240E33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240E33" w:rsidRPr="006D1EE8" w:rsidRDefault="00240E33" w:rsidP="00240E3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40E33" w:rsidRPr="006D1EE8" w:rsidRDefault="00240E33" w:rsidP="00240E33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40E33" w:rsidRDefault="00240E33" w:rsidP="00240E33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123EE3" w:rsidRDefault="00123EE3" w:rsidP="00123EE3">
      <w:pPr>
        <w:pStyle w:val="Standard"/>
        <w:rPr>
          <w:rFonts w:ascii="Arial" w:hAnsi="Arial"/>
          <w:b/>
          <w:bCs/>
        </w:rPr>
      </w:pPr>
    </w:p>
    <w:sectPr w:rsidR="00123EE3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91" w:rsidRDefault="00726D91">
      <w:r>
        <w:separator/>
      </w:r>
    </w:p>
  </w:endnote>
  <w:endnote w:type="continuationSeparator" w:id="0">
    <w:p w:rsidR="00726D91" w:rsidRDefault="007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91" w:rsidRDefault="00726D91">
      <w:r>
        <w:separator/>
      </w:r>
    </w:p>
  </w:footnote>
  <w:footnote w:type="continuationSeparator" w:id="0">
    <w:p w:rsidR="00726D91" w:rsidRDefault="0072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 w:rsidP="00726D9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6132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/7</w:t>
    </w:r>
  </w:p>
  <w:p w:rsidR="00726D91" w:rsidRPr="00726D91" w:rsidRDefault="00726D91" w:rsidP="00726D91"/>
  <w:p w:rsidR="00726D91" w:rsidRDefault="00726D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6132B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>/7</w:t>
    </w:r>
  </w:p>
  <w:p w:rsidR="00726D91" w:rsidRPr="00726D91" w:rsidRDefault="00726D91" w:rsidP="00726D91"/>
  <w:p w:rsidR="00726D91" w:rsidRDefault="0072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4EB1CD8"/>
    <w:multiLevelType w:val="multilevel"/>
    <w:tmpl w:val="7D7C8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3"/>
    <w:rsid w:val="00071D9A"/>
    <w:rsid w:val="00120B4F"/>
    <w:rsid w:val="00123EE3"/>
    <w:rsid w:val="00162D8D"/>
    <w:rsid w:val="00196144"/>
    <w:rsid w:val="001F0C8C"/>
    <w:rsid w:val="002220F4"/>
    <w:rsid w:val="00240E33"/>
    <w:rsid w:val="0026132B"/>
    <w:rsid w:val="002D2D6A"/>
    <w:rsid w:val="002E7111"/>
    <w:rsid w:val="00606AF2"/>
    <w:rsid w:val="00726D91"/>
    <w:rsid w:val="008258CD"/>
    <w:rsid w:val="00A23EE7"/>
    <w:rsid w:val="00AC3F1E"/>
    <w:rsid w:val="00AF5622"/>
    <w:rsid w:val="00B65486"/>
    <w:rsid w:val="00D93ACB"/>
    <w:rsid w:val="00DC500D"/>
    <w:rsid w:val="00E30E26"/>
    <w:rsid w:val="00E54606"/>
    <w:rsid w:val="00E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123EE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23EE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123E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86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2D8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2D8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40E3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123EE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23EE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123EE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86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2D8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D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2D8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40E3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2337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18</cp:revision>
  <cp:lastPrinted>2021-07-02T06:45:00Z</cp:lastPrinted>
  <dcterms:created xsi:type="dcterms:W3CDTF">2014-02-05T11:38:00Z</dcterms:created>
  <dcterms:modified xsi:type="dcterms:W3CDTF">2021-07-02T06:46:00Z</dcterms:modified>
</cp:coreProperties>
</file>